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привлекавшийся по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КоАП РФ, 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2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привлекавшийся по ч.1 ст. 19.24 КоАП РФ, достоверно зная о том, что в отношении него установлен административный надзор,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23.03.2024 в 22 часа 40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24.02.2024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 </w:t>
      </w:r>
      <w:r>
        <w:rPr>
          <w:rStyle w:val="cat-UserDefinedgrp-28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заключение о заведении дела административного надзора на лицо, освобожденное из мест лишения свободы, в отношении которого установлены административные ограничения в соответствии с законодательством РФ;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графика прибытия поднадзорного лица на регистрацию;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на физическое лицо.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Срок административн</w:t>
      </w:r>
      <w:r>
        <w:rPr>
          <w:rFonts w:ascii="Times New Roman" w:eastAsia="Times New Roman" w:hAnsi="Times New Roman" w:cs="Times New Roman"/>
          <w:sz w:val="25"/>
          <w:szCs w:val="25"/>
        </w:rPr>
        <w:t>ого ареста исчислять с момента вынесения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с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29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142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20">
    <w:name w:val="cat-UserDefined grp-25 rplc-20"/>
    <w:basedOn w:val="DefaultParagraphFont"/>
  </w:style>
  <w:style w:type="character" w:customStyle="1" w:styleId="cat-UserDefinedgrp-26rplc-23">
    <w:name w:val="cat-UserDefined grp-26 rplc-23"/>
    <w:basedOn w:val="DefaultParagraphFont"/>
  </w:style>
  <w:style w:type="character" w:customStyle="1" w:styleId="cat-UserDefinedgrp-27rplc-30">
    <w:name w:val="cat-UserDefined grp-27 rplc-30"/>
    <w:basedOn w:val="DefaultParagraphFont"/>
  </w:style>
  <w:style w:type="character" w:customStyle="1" w:styleId="cat-UserDefinedgrp-28rplc-36">
    <w:name w:val="cat-UserDefined grp-28 rplc-36"/>
    <w:basedOn w:val="DefaultParagraphFont"/>
  </w:style>
  <w:style w:type="character" w:customStyle="1" w:styleId="cat-UserDefinedgrp-29rplc-48">
    <w:name w:val="cat-UserDefined grp-2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